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720" w:right="-676" w:firstLine="11.338582677165334"/>
        <w:jc w:val="left"/>
        <w:rPr>
          <w:rFonts w:ascii="Arial Black" w:cs="Arial Black" w:eastAsia="Arial Black" w:hAnsi="Arial Black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-720" w:right="-676" w:firstLine="11.338582677165334"/>
        <w:jc w:val="center"/>
        <w:rPr>
          <w:rFonts w:ascii="Arial Black" w:cs="Arial Black" w:eastAsia="Arial Black" w:hAnsi="Arial Black"/>
          <w:b w:val="1"/>
          <w:color w:val="434343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34343"/>
          <w:sz w:val="28"/>
          <w:szCs w:val="28"/>
          <w:rtl w:val="0"/>
        </w:rPr>
        <w:t xml:space="preserve">TEXTO PARA COMENTARIO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-720" w:right="-676" w:firstLine="11.338582677165334"/>
        <w:jc w:val="center"/>
        <w:rPr>
          <w:rFonts w:ascii="Arial" w:cs="Arial" w:eastAsia="Arial" w:hAnsi="Arial"/>
          <w:b w:val="1"/>
          <w:i w:val="1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34343"/>
          <w:sz w:val="24"/>
          <w:szCs w:val="24"/>
          <w:rtl w:val="0"/>
        </w:rPr>
        <w:t xml:space="preserve">En línea. Leer y escribir en la red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-720" w:right="-676" w:firstLine="11.338582677165334"/>
        <w:jc w:val="center"/>
        <w:rPr>
          <w:rFonts w:ascii="Arial" w:cs="Arial" w:eastAsia="Arial" w:hAnsi="Arial"/>
          <w:b w:val="1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sz w:val="24"/>
          <w:szCs w:val="24"/>
          <w:rtl w:val="0"/>
        </w:rPr>
        <w:t xml:space="preserve">Daniel Cassany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720" w:right="-676" w:firstLine="11.338582677165334"/>
        <w:jc w:val="center"/>
        <w:rPr>
          <w:rFonts w:ascii="Arial Black" w:cs="Arial Black" w:eastAsia="Arial Black" w:hAnsi="Arial Black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line="276" w:lineRule="auto"/>
        <w:ind w:left="-1620" w:right="-676" w:firstLine="1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red multiplica las posibilidades de aprender. Con el tiempo agrupamos en nuestra carpeta de “Favoritos” las webs más visitadas, los blogs y los foros que nos interesan, los periódicos que leemos o los podcast que escuchamos. En la red social, invitamos a nuestro círculo (familiares, amigos y colegas) a compartir su sabiduría: sus contactos (“los amigos de mis amigos son mis amigos”) y su día a día; nos hacemos fans de los perfiles de los VIP, científicos y autores que nos gustan. Pegamos en nuestro muro los vídeos, fotos, artículos y chistes preferidos; tuiteamos nuestras impresiones de un congreso y seguimos las de los colegas; revisamos los muros de nuestros amigos y los valoramos (“me gusta”); leemos y reenviamos los memes más graciosos. Facebook lo resume así: “Tu perfil ayuda a tus amigos a aprender sobre la gente, las experiencias y las actividades que te interesan más”. </w:t>
      </w:r>
    </w:p>
    <w:p w:rsidR="00000000" w:rsidDel="00000000" w:rsidP="00000000" w:rsidRDefault="00000000" w:rsidRPr="00000000" w14:paraId="00000007">
      <w:pPr>
        <w:shd w:fill="ffffff" w:val="clear"/>
        <w:spacing w:after="120" w:line="276" w:lineRule="auto"/>
        <w:ind w:left="-1620" w:right="-676" w:firstLine="1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Son redes personales, para charlar con los amigos y divertirnos; o profesionales, para difundir nuestro trabajo, conectar con otros colegas y estar al día. Actúan como auténticas comunidades de aprendizaje, con las que seguimos las novedades casi sin darnos cuenta. Las hemos creado poco a poco, gracias a descubrimientos ocasionales, invitaciones de amigos, hallazgos con una búsqueda o recomendaciones de expertos. Se denominan entorno personal de aprendizaje o EPA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personal learning environment </w:t>
      </w:r>
      <w:r w:rsidDel="00000000" w:rsidR="00000000" w:rsidRPr="00000000">
        <w:rPr>
          <w:rFonts w:ascii="Arial" w:cs="Arial" w:eastAsia="Arial" w:hAnsi="Arial"/>
          <w:rtl w:val="0"/>
        </w:rPr>
        <w:t xml:space="preserve">o PLE, en inglés). </w:t>
      </w:r>
    </w:p>
    <w:p w:rsidR="00000000" w:rsidDel="00000000" w:rsidP="00000000" w:rsidRDefault="00000000" w:rsidRPr="00000000" w14:paraId="00000008">
      <w:pPr>
        <w:shd w:fill="ffffff" w:val="clear"/>
        <w:spacing w:after="120" w:line="276" w:lineRule="auto"/>
        <w:ind w:left="-1620" w:right="-676" w:firstLine="180"/>
        <w:jc w:val="both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es nada nuevo, por supuesto. Desde siempre cada cual ha usado sus contactos y fuentes de información para mantenerse al día, desde la vecina chismosa que lee revistas del corazón y toma el té con las amigas, a la psiquiatra que desayuna con el periódico, se suscribe a varios boletines, visita su colegio profesional y viaja a un congreso cada año. Lo que cambia con la red es que disponemos de muchísimos más recursos, casi inabarcables, actualizados, versátiles y dinámicos, sobre cualquier tema. Hoy mantenerse informado y aprender es más fácil en apariencia —porque casi todo está en la red—, pero más complejo en la práctica —porque hay que separar el grano de la paja y estar al día de los cambios constantes. (Daniel Cassany,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En-línea. Leer y escribir en la red</w:t>
      </w:r>
      <w:r w:rsidDel="00000000" w:rsidR="00000000" w:rsidRPr="00000000">
        <w:rPr>
          <w:rFonts w:ascii="Arial" w:cs="Arial" w:eastAsia="Arial" w:hAnsi="Arial"/>
          <w:rtl w:val="0"/>
        </w:rPr>
        <w:t xml:space="preserve">, 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ind w:left="-720" w:right="-676" w:firstLine="11.338582677165334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.3228346456694" w:top="1417.3228346456694" w:left="2976.377952755906" w:right="1995.118110236220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  <w:font w:name="Helvetica Neue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2489475</wp:posOffset>
          </wp:positionH>
          <wp:positionV relativeFrom="paragraph">
            <wp:posOffset>76200</wp:posOffset>
          </wp:positionV>
          <wp:extent cx="781050" cy="273050"/>
          <wp:effectExtent b="0" l="0" r="0" t="0"/>
          <wp:wrapSquare wrapText="bothSides" distB="0" distT="0" distL="114300" distR="114300"/>
          <wp:docPr id="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“</w:t>
    </w: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TEXTO PARA COMENTARIO </w:t>
    </w:r>
    <w:r w:rsidDel="00000000" w:rsidR="00000000" w:rsidRPr="00000000">
      <w:rPr>
        <w:rFonts w:ascii="Helvetica Neue Light" w:cs="Helvetica Neue Light" w:eastAsia="Helvetica Neue Light" w:hAnsi="Helvetica Neue Light"/>
        <w:i w:val="1"/>
        <w:sz w:val="16"/>
        <w:szCs w:val="16"/>
        <w:rtl w:val="0"/>
      </w:rPr>
      <w:t xml:space="preserve">En línea. Leer y escribir en la red </w:t>
    </w: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de </w:t>
    </w: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Daniel Cassany</w:t>
    </w: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de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3267075</wp:posOffset>
          </wp:positionH>
          <wp:positionV relativeFrom="paragraph">
            <wp:posOffset>-161924</wp:posOffset>
          </wp:positionV>
          <wp:extent cx="1933575" cy="347881"/>
          <wp:effectExtent b="0" l="0" r="0" t="0"/>
          <wp:wrapSquare wrapText="bothSides" distB="0" distT="0" distL="0" distR="0"/>
          <wp:docPr id="5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68E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HelveticaNeueLight-regular.ttf"/><Relationship Id="rId3" Type="http://schemas.openxmlformats.org/officeDocument/2006/relationships/font" Target="fonts/HelveticaNeueLight-bold.ttf"/><Relationship Id="rId4" Type="http://schemas.openxmlformats.org/officeDocument/2006/relationships/font" Target="fonts/HelveticaNeueLight-italic.ttf"/><Relationship Id="rId5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Rz5d9LLI661NecWxX/iOYvG/Fg==">AMUW2mVg9k8rPqK2jhPv+LOHlFUQpptkIHmSSb8GKScKp9ptnoWlb9jae+hD+M2qKGG3FUIPA7DNVHthdrBsjaHOaCe0bwlOy47qwB1PuThrqUXPxZF/3PY=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2020-09-20T18:44:00Z</dcterms:created>
  <dc:creator>innovacion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