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3471" w14:textId="77777777" w:rsidR="000A4270" w:rsidRDefault="00000000">
      <w:pPr>
        <w:pStyle w:val="Ttulo1"/>
        <w:spacing w:before="0"/>
        <w:jc w:val="center"/>
        <w:rPr>
          <w:b/>
          <w:sz w:val="48"/>
          <w:szCs w:val="48"/>
        </w:rPr>
      </w:pPr>
      <w:bookmarkStart w:id="0" w:name="_v3kpl8zcktok" w:colFirst="0" w:colLast="0"/>
      <w:bookmarkEnd w:id="0"/>
      <w:r>
        <w:rPr>
          <w:b/>
          <w:sz w:val="48"/>
          <w:szCs w:val="48"/>
        </w:rPr>
        <w:t>Relacionamos tareas con criterios de evaluación</w:t>
      </w:r>
    </w:p>
    <w:p w14:paraId="427CC58B" w14:textId="77777777" w:rsidR="000A4270" w:rsidRDefault="000A4270">
      <w:pPr>
        <w:jc w:val="left"/>
        <w:rPr>
          <w:rFonts w:ascii="Montserrat" w:eastAsia="Montserrat" w:hAnsi="Montserrat" w:cs="Montserrat"/>
          <w:b/>
        </w:rPr>
      </w:pPr>
    </w:p>
    <w:p w14:paraId="47B32DF4" w14:textId="77777777" w:rsidR="000A4270" w:rsidRDefault="00000000">
      <w:pPr>
        <w:rPr>
          <w:rFonts w:ascii="Montserrat" w:eastAsia="Montserrat" w:hAnsi="Montserrat" w:cs="Montserrat"/>
          <w:b/>
        </w:rPr>
      </w:pPr>
      <w:r>
        <w:rPr>
          <w:rFonts w:ascii="Montserrat" w:eastAsia="Montserrat" w:hAnsi="Montserrat" w:cs="Montserrat"/>
          <w:b/>
        </w:rPr>
        <w:t>Completa esta tabla. Añade o elimina las filas que no necesites. Puede ser que varias tareas se correspondan con el mismo criterio y se repitan.</w:t>
      </w:r>
    </w:p>
    <w:p w14:paraId="3FF6B5EB" w14:textId="77777777" w:rsidR="000A4270" w:rsidRDefault="000A4270">
      <w:pPr>
        <w:jc w:val="left"/>
        <w:rPr>
          <w:rFonts w:ascii="Montserrat" w:eastAsia="Montserrat" w:hAnsi="Montserrat" w:cs="Montserrat"/>
        </w:rPr>
      </w:pPr>
    </w:p>
    <w:tbl>
      <w:tblPr>
        <w:tblStyle w:val="a"/>
        <w:tblW w:w="139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955"/>
        <w:gridCol w:w="2385"/>
        <w:gridCol w:w="1860"/>
        <w:gridCol w:w="3060"/>
      </w:tblGrid>
      <w:tr w:rsidR="000A4270" w14:paraId="7700F30A" w14:textId="77777777">
        <w:tc>
          <w:tcPr>
            <w:tcW w:w="3675" w:type="dxa"/>
            <w:shd w:val="clear" w:color="auto" w:fill="93C47D"/>
            <w:tcMar>
              <w:top w:w="100" w:type="dxa"/>
              <w:left w:w="100" w:type="dxa"/>
              <w:bottom w:w="100" w:type="dxa"/>
              <w:right w:w="100" w:type="dxa"/>
            </w:tcMar>
            <w:vAlign w:val="center"/>
          </w:tcPr>
          <w:p w14:paraId="76ADCEC3" w14:textId="77777777" w:rsidR="000A4270" w:rsidRDefault="00000000">
            <w:pPr>
              <w:widowControl w:val="0"/>
              <w:spacing w:line="240" w:lineRule="auto"/>
              <w:jc w:val="center"/>
              <w:rPr>
                <w:rFonts w:ascii="Montserrat" w:eastAsia="Montserrat" w:hAnsi="Montserrat" w:cs="Montserrat"/>
                <w:b/>
              </w:rPr>
            </w:pPr>
            <w:r>
              <w:rPr>
                <w:rFonts w:ascii="Montserrat" w:eastAsia="Montserrat" w:hAnsi="Montserrat" w:cs="Montserrat"/>
                <w:b/>
              </w:rPr>
              <w:t xml:space="preserve">TAREA </w:t>
            </w:r>
          </w:p>
        </w:tc>
        <w:tc>
          <w:tcPr>
            <w:tcW w:w="2955" w:type="dxa"/>
            <w:shd w:val="clear" w:color="auto" w:fill="93C47D"/>
            <w:tcMar>
              <w:top w:w="100" w:type="dxa"/>
              <w:left w:w="100" w:type="dxa"/>
              <w:bottom w:w="100" w:type="dxa"/>
              <w:right w:w="100" w:type="dxa"/>
            </w:tcMar>
            <w:vAlign w:val="center"/>
          </w:tcPr>
          <w:p w14:paraId="04E1F93E" w14:textId="77777777" w:rsidR="000A4270" w:rsidRDefault="00000000">
            <w:pPr>
              <w:widowControl w:val="0"/>
              <w:spacing w:line="240" w:lineRule="auto"/>
              <w:jc w:val="center"/>
              <w:rPr>
                <w:rFonts w:ascii="Montserrat" w:eastAsia="Montserrat" w:hAnsi="Montserrat" w:cs="Montserrat"/>
                <w:b/>
              </w:rPr>
            </w:pPr>
            <w:r>
              <w:rPr>
                <w:rFonts w:ascii="Montserrat" w:eastAsia="Montserrat" w:hAnsi="Montserrat" w:cs="Montserrat"/>
                <w:b/>
              </w:rPr>
              <w:t>CRITERIO DE EVALUACIÓN</w:t>
            </w:r>
          </w:p>
        </w:tc>
        <w:tc>
          <w:tcPr>
            <w:tcW w:w="2385" w:type="dxa"/>
            <w:shd w:val="clear" w:color="auto" w:fill="93C47D"/>
            <w:tcMar>
              <w:top w:w="100" w:type="dxa"/>
              <w:left w:w="100" w:type="dxa"/>
              <w:bottom w:w="100" w:type="dxa"/>
              <w:right w:w="100" w:type="dxa"/>
            </w:tcMar>
            <w:vAlign w:val="center"/>
          </w:tcPr>
          <w:p w14:paraId="6C23704D" w14:textId="77777777" w:rsidR="000A4270" w:rsidRDefault="00000000">
            <w:pPr>
              <w:widowControl w:val="0"/>
              <w:spacing w:line="240" w:lineRule="auto"/>
              <w:jc w:val="center"/>
              <w:rPr>
                <w:rFonts w:ascii="Montserrat" w:eastAsia="Montserrat" w:hAnsi="Montserrat" w:cs="Montserrat"/>
                <w:b/>
              </w:rPr>
            </w:pPr>
            <w:r>
              <w:rPr>
                <w:rFonts w:ascii="Montserrat" w:eastAsia="Montserrat" w:hAnsi="Montserrat" w:cs="Montserrat"/>
                <w:b/>
              </w:rPr>
              <w:t>AGRUPAMIENTO</w:t>
            </w:r>
          </w:p>
        </w:tc>
        <w:tc>
          <w:tcPr>
            <w:tcW w:w="1860" w:type="dxa"/>
            <w:shd w:val="clear" w:color="auto" w:fill="93C47D"/>
            <w:tcMar>
              <w:top w:w="100" w:type="dxa"/>
              <w:left w:w="100" w:type="dxa"/>
              <w:bottom w:w="100" w:type="dxa"/>
              <w:right w:w="100" w:type="dxa"/>
            </w:tcMar>
            <w:vAlign w:val="center"/>
          </w:tcPr>
          <w:p w14:paraId="26981D54" w14:textId="77777777" w:rsidR="000A4270" w:rsidRDefault="00000000">
            <w:pPr>
              <w:widowControl w:val="0"/>
              <w:spacing w:line="240" w:lineRule="auto"/>
              <w:jc w:val="center"/>
              <w:rPr>
                <w:rFonts w:ascii="Montserrat" w:eastAsia="Montserrat" w:hAnsi="Montserrat" w:cs="Montserrat"/>
                <w:b/>
              </w:rPr>
            </w:pPr>
            <w:r>
              <w:rPr>
                <w:rFonts w:ascii="Montserrat" w:eastAsia="Montserrat" w:hAnsi="Montserrat" w:cs="Montserrat"/>
                <w:b/>
              </w:rPr>
              <w:t>TIEMPO APROXIMADO</w:t>
            </w:r>
          </w:p>
        </w:tc>
        <w:tc>
          <w:tcPr>
            <w:tcW w:w="3060" w:type="dxa"/>
            <w:shd w:val="clear" w:color="auto" w:fill="93C47D"/>
            <w:tcMar>
              <w:top w:w="100" w:type="dxa"/>
              <w:left w:w="100" w:type="dxa"/>
              <w:bottom w:w="100" w:type="dxa"/>
              <w:right w:w="100" w:type="dxa"/>
            </w:tcMar>
            <w:vAlign w:val="center"/>
          </w:tcPr>
          <w:p w14:paraId="34A9F3F6" w14:textId="77777777" w:rsidR="000A4270" w:rsidRDefault="00000000">
            <w:pPr>
              <w:widowControl w:val="0"/>
              <w:spacing w:line="240" w:lineRule="auto"/>
              <w:jc w:val="center"/>
              <w:rPr>
                <w:rFonts w:ascii="Montserrat" w:eastAsia="Montserrat" w:hAnsi="Montserrat" w:cs="Montserrat"/>
                <w:b/>
              </w:rPr>
            </w:pPr>
            <w:r>
              <w:rPr>
                <w:rFonts w:ascii="Montserrat" w:eastAsia="Montserrat" w:hAnsi="Montserrat" w:cs="Montserrat"/>
                <w:b/>
              </w:rPr>
              <w:t>HERRAMIENTA QUE SE LE SUGERIRÁ AL ALUMNADO</w:t>
            </w:r>
          </w:p>
        </w:tc>
      </w:tr>
      <w:tr w:rsidR="000A4270" w14:paraId="4DD93BFA" w14:textId="77777777">
        <w:tc>
          <w:tcPr>
            <w:tcW w:w="3675" w:type="dxa"/>
            <w:shd w:val="clear" w:color="auto" w:fill="auto"/>
            <w:tcMar>
              <w:top w:w="100" w:type="dxa"/>
              <w:left w:w="100" w:type="dxa"/>
              <w:bottom w:w="100" w:type="dxa"/>
              <w:right w:w="100" w:type="dxa"/>
            </w:tcMar>
            <w:vAlign w:val="center"/>
          </w:tcPr>
          <w:p w14:paraId="7A78BC31"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Cómo necesitamos a los demás</w:t>
            </w:r>
          </w:p>
        </w:tc>
        <w:tc>
          <w:tcPr>
            <w:tcW w:w="2955" w:type="dxa"/>
            <w:shd w:val="clear" w:color="auto" w:fill="auto"/>
            <w:tcMar>
              <w:top w:w="100" w:type="dxa"/>
              <w:left w:w="100" w:type="dxa"/>
              <w:bottom w:w="100" w:type="dxa"/>
              <w:right w:w="100" w:type="dxa"/>
            </w:tcMar>
            <w:vAlign w:val="center"/>
          </w:tcPr>
          <w:p w14:paraId="04D8A3DB" w14:textId="77777777" w:rsidR="000A4270" w:rsidRDefault="00000000">
            <w:pPr>
              <w:widowControl w:val="0"/>
              <w:spacing w:line="240" w:lineRule="auto"/>
              <w:rPr>
                <w:rFonts w:ascii="Montserrat" w:eastAsia="Montserrat" w:hAnsi="Montserrat" w:cs="Montserrat"/>
                <w:sz w:val="20"/>
                <w:szCs w:val="20"/>
              </w:rPr>
            </w:pPr>
            <w:r>
              <w:rPr>
                <w:rFonts w:ascii="Montserrat" w:eastAsia="Montserrat" w:hAnsi="Montserrat" w:cs="Montserrat"/>
                <w:sz w:val="20"/>
                <w:szCs w:val="20"/>
              </w:rPr>
              <w:t>2.1. Describir y aceptar los rasgos y dimensiones fundamentales de la identidad personal, analizando relatos bíblicos de vocación y misión, así como otras biografías significativas.</w:t>
            </w:r>
          </w:p>
        </w:tc>
        <w:tc>
          <w:tcPr>
            <w:tcW w:w="2385" w:type="dxa"/>
            <w:shd w:val="clear" w:color="auto" w:fill="auto"/>
            <w:tcMar>
              <w:top w:w="100" w:type="dxa"/>
              <w:left w:w="100" w:type="dxa"/>
              <w:bottom w:w="100" w:type="dxa"/>
              <w:right w:w="100" w:type="dxa"/>
            </w:tcMar>
            <w:vAlign w:val="center"/>
          </w:tcPr>
          <w:p w14:paraId="0612CC5F"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Toda la clase</w:t>
            </w:r>
          </w:p>
        </w:tc>
        <w:tc>
          <w:tcPr>
            <w:tcW w:w="1860" w:type="dxa"/>
            <w:shd w:val="clear" w:color="auto" w:fill="auto"/>
            <w:tcMar>
              <w:top w:w="100" w:type="dxa"/>
              <w:left w:w="100" w:type="dxa"/>
              <w:bottom w:w="100" w:type="dxa"/>
              <w:right w:w="100" w:type="dxa"/>
            </w:tcMar>
            <w:vAlign w:val="center"/>
          </w:tcPr>
          <w:p w14:paraId="1A371AC0"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1 sesiones</w:t>
            </w:r>
          </w:p>
        </w:tc>
        <w:tc>
          <w:tcPr>
            <w:tcW w:w="3060" w:type="dxa"/>
            <w:shd w:val="clear" w:color="auto" w:fill="auto"/>
            <w:tcMar>
              <w:top w:w="100" w:type="dxa"/>
              <w:left w:w="100" w:type="dxa"/>
              <w:bottom w:w="100" w:type="dxa"/>
              <w:right w:w="100" w:type="dxa"/>
            </w:tcMar>
            <w:vAlign w:val="center"/>
          </w:tcPr>
          <w:p w14:paraId="4F0A011B"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Actividades interactivas del libro digital</w:t>
            </w:r>
          </w:p>
        </w:tc>
      </w:tr>
      <w:tr w:rsidR="000A4270" w14:paraId="587F069A" w14:textId="77777777">
        <w:tc>
          <w:tcPr>
            <w:tcW w:w="3675" w:type="dxa"/>
            <w:shd w:val="clear" w:color="auto" w:fill="auto"/>
            <w:tcMar>
              <w:top w:w="100" w:type="dxa"/>
              <w:left w:w="100" w:type="dxa"/>
              <w:bottom w:w="100" w:type="dxa"/>
              <w:right w:w="100" w:type="dxa"/>
            </w:tcMar>
            <w:vAlign w:val="center"/>
          </w:tcPr>
          <w:p w14:paraId="21DED77D"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Nuestros grupos de referencia</w:t>
            </w:r>
          </w:p>
        </w:tc>
        <w:tc>
          <w:tcPr>
            <w:tcW w:w="2955" w:type="dxa"/>
            <w:shd w:val="clear" w:color="auto" w:fill="auto"/>
            <w:tcMar>
              <w:top w:w="100" w:type="dxa"/>
              <w:left w:w="100" w:type="dxa"/>
              <w:bottom w:w="100" w:type="dxa"/>
              <w:right w:w="100" w:type="dxa"/>
            </w:tcMar>
            <w:vAlign w:val="center"/>
          </w:tcPr>
          <w:p w14:paraId="7CFD9EF0" w14:textId="77777777" w:rsidR="000A4270" w:rsidRDefault="00000000">
            <w:pPr>
              <w:widowControl w:val="0"/>
              <w:spacing w:line="240" w:lineRule="auto"/>
              <w:rPr>
                <w:rFonts w:ascii="Montserrat" w:eastAsia="Montserrat" w:hAnsi="Montserrat" w:cs="Montserrat"/>
              </w:rPr>
            </w:pPr>
            <w:r>
              <w:rPr>
                <w:rFonts w:ascii="Montserrat" w:eastAsia="Montserrat" w:hAnsi="Montserrat" w:cs="Montserrat"/>
              </w:rPr>
              <w:t xml:space="preserve">2.3. Adquirir habilidades y actitudes de relación con otros, poniendo en práctica estrategias efectivas de reflexión y de comunicación, de ayuda mutua, de participación e inclusión, </w:t>
            </w:r>
            <w:r>
              <w:rPr>
                <w:rFonts w:ascii="Montserrat" w:eastAsia="Montserrat" w:hAnsi="Montserrat" w:cs="Montserrat"/>
              </w:rPr>
              <w:lastRenderedPageBreak/>
              <w:t xml:space="preserve">orientadas a la mejora de la convivencia en la familia y en  la escuela como expresión de fraternidad universal. </w:t>
            </w:r>
          </w:p>
        </w:tc>
        <w:tc>
          <w:tcPr>
            <w:tcW w:w="2385" w:type="dxa"/>
            <w:shd w:val="clear" w:color="auto" w:fill="auto"/>
            <w:tcMar>
              <w:top w:w="100" w:type="dxa"/>
              <w:left w:w="100" w:type="dxa"/>
              <w:bottom w:w="100" w:type="dxa"/>
              <w:right w:w="100" w:type="dxa"/>
            </w:tcMar>
            <w:vAlign w:val="center"/>
          </w:tcPr>
          <w:p w14:paraId="28C756CC"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lastRenderedPageBreak/>
              <w:t>Individual</w:t>
            </w:r>
          </w:p>
        </w:tc>
        <w:tc>
          <w:tcPr>
            <w:tcW w:w="1860" w:type="dxa"/>
            <w:shd w:val="clear" w:color="auto" w:fill="auto"/>
            <w:tcMar>
              <w:top w:w="100" w:type="dxa"/>
              <w:left w:w="100" w:type="dxa"/>
              <w:bottom w:w="100" w:type="dxa"/>
              <w:right w:w="100" w:type="dxa"/>
            </w:tcMar>
            <w:vAlign w:val="center"/>
          </w:tcPr>
          <w:p w14:paraId="0259A276"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1 sesión</w:t>
            </w:r>
          </w:p>
        </w:tc>
        <w:tc>
          <w:tcPr>
            <w:tcW w:w="3060" w:type="dxa"/>
            <w:shd w:val="clear" w:color="auto" w:fill="auto"/>
            <w:tcMar>
              <w:top w:w="100" w:type="dxa"/>
              <w:left w:w="100" w:type="dxa"/>
              <w:bottom w:w="100" w:type="dxa"/>
              <w:right w:w="100" w:type="dxa"/>
            </w:tcMar>
            <w:vAlign w:val="center"/>
          </w:tcPr>
          <w:p w14:paraId="43BA2DE2"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Debate</w:t>
            </w:r>
          </w:p>
        </w:tc>
      </w:tr>
      <w:tr w:rsidR="000A4270" w14:paraId="40C14349" w14:textId="77777777">
        <w:tc>
          <w:tcPr>
            <w:tcW w:w="3675" w:type="dxa"/>
            <w:shd w:val="clear" w:color="auto" w:fill="auto"/>
            <w:tcMar>
              <w:top w:w="100" w:type="dxa"/>
              <w:left w:w="100" w:type="dxa"/>
              <w:bottom w:w="100" w:type="dxa"/>
              <w:right w:w="100" w:type="dxa"/>
            </w:tcMar>
            <w:vAlign w:val="center"/>
          </w:tcPr>
          <w:p w14:paraId="1C2D2813" w14:textId="77777777" w:rsidR="000A4270" w:rsidRDefault="00000000">
            <w:pPr>
              <w:widowControl w:val="0"/>
              <w:spacing w:line="240" w:lineRule="auto"/>
              <w:rPr>
                <w:rFonts w:ascii="Montserrat" w:eastAsia="Montserrat" w:hAnsi="Montserrat" w:cs="Montserrat"/>
              </w:rPr>
            </w:pPr>
            <w:r>
              <w:rPr>
                <w:rFonts w:ascii="Montserrat" w:eastAsia="Montserrat" w:hAnsi="Montserrat" w:cs="Montserrat"/>
              </w:rPr>
              <w:t>Cómo desarrollamos nuestra  inteligencia en esos grupos y la desarrollamos en el centro</w:t>
            </w:r>
          </w:p>
        </w:tc>
        <w:tc>
          <w:tcPr>
            <w:tcW w:w="2955" w:type="dxa"/>
            <w:shd w:val="clear" w:color="auto" w:fill="auto"/>
            <w:tcMar>
              <w:top w:w="100" w:type="dxa"/>
              <w:left w:w="100" w:type="dxa"/>
              <w:bottom w:w="100" w:type="dxa"/>
              <w:right w:w="100" w:type="dxa"/>
            </w:tcMar>
            <w:vAlign w:val="center"/>
          </w:tcPr>
          <w:p w14:paraId="0B672A7C" w14:textId="77777777" w:rsidR="000A4270" w:rsidRDefault="00000000">
            <w:pPr>
              <w:widowControl w:val="0"/>
              <w:spacing w:line="240" w:lineRule="auto"/>
              <w:rPr>
                <w:rFonts w:ascii="Montserrat" w:eastAsia="Montserrat" w:hAnsi="Montserrat" w:cs="Montserrat"/>
              </w:rPr>
            </w:pPr>
            <w:r>
              <w:rPr>
                <w:rFonts w:ascii="Montserrat" w:eastAsia="Montserrat" w:hAnsi="Montserrat" w:cs="Montserrat"/>
              </w:rPr>
              <w:t xml:space="preserve">2.4. Desarrolla empatía y reconocimiento de la diversidad personal y social, inspirándose en el ser relacional de Dios, manifestado en la historia de la salvación. </w:t>
            </w:r>
          </w:p>
          <w:p w14:paraId="0FD598C3" w14:textId="77777777" w:rsidR="000A4270" w:rsidRDefault="000A4270">
            <w:pPr>
              <w:widowControl w:val="0"/>
              <w:spacing w:line="240" w:lineRule="auto"/>
              <w:rPr>
                <w:rFonts w:ascii="Montserrat" w:eastAsia="Montserrat" w:hAnsi="Montserrat" w:cs="Montserrat"/>
              </w:rPr>
            </w:pPr>
          </w:p>
        </w:tc>
        <w:tc>
          <w:tcPr>
            <w:tcW w:w="2385" w:type="dxa"/>
            <w:shd w:val="clear" w:color="auto" w:fill="auto"/>
            <w:tcMar>
              <w:top w:w="100" w:type="dxa"/>
              <w:left w:w="100" w:type="dxa"/>
              <w:bottom w:w="100" w:type="dxa"/>
              <w:right w:w="100" w:type="dxa"/>
            </w:tcMar>
            <w:vAlign w:val="center"/>
          </w:tcPr>
          <w:p w14:paraId="10522FC8"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Grupos de 3</w:t>
            </w:r>
          </w:p>
        </w:tc>
        <w:tc>
          <w:tcPr>
            <w:tcW w:w="1860" w:type="dxa"/>
            <w:shd w:val="clear" w:color="auto" w:fill="auto"/>
            <w:tcMar>
              <w:top w:w="100" w:type="dxa"/>
              <w:left w:w="100" w:type="dxa"/>
              <w:bottom w:w="100" w:type="dxa"/>
              <w:right w:w="100" w:type="dxa"/>
            </w:tcMar>
            <w:vAlign w:val="center"/>
          </w:tcPr>
          <w:p w14:paraId="3BFFD550"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3 sesiones</w:t>
            </w:r>
          </w:p>
        </w:tc>
        <w:tc>
          <w:tcPr>
            <w:tcW w:w="3060" w:type="dxa"/>
            <w:shd w:val="clear" w:color="auto" w:fill="auto"/>
            <w:tcMar>
              <w:top w:w="100" w:type="dxa"/>
              <w:left w:w="100" w:type="dxa"/>
              <w:bottom w:w="100" w:type="dxa"/>
              <w:right w:w="100" w:type="dxa"/>
            </w:tcMar>
            <w:vAlign w:val="center"/>
          </w:tcPr>
          <w:p w14:paraId="60A726BE"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Trabajo en grupo con los portátiles del centro y después exponerlo a la clase.</w:t>
            </w:r>
          </w:p>
          <w:p w14:paraId="07862836" w14:textId="77777777" w:rsidR="000A4270" w:rsidRDefault="00000000">
            <w:pPr>
              <w:widowControl w:val="0"/>
              <w:spacing w:line="240" w:lineRule="auto"/>
              <w:jc w:val="left"/>
              <w:rPr>
                <w:rFonts w:ascii="Montserrat" w:eastAsia="Montserrat" w:hAnsi="Montserrat" w:cs="Montserrat"/>
              </w:rPr>
            </w:pPr>
            <w:r>
              <w:rPr>
                <w:rFonts w:ascii="Montserrat" w:eastAsia="Montserrat" w:hAnsi="Montserrat" w:cs="Montserrat"/>
              </w:rPr>
              <w:t>Entregarlo en classroom</w:t>
            </w:r>
          </w:p>
        </w:tc>
      </w:tr>
    </w:tbl>
    <w:p w14:paraId="513F0CAD" w14:textId="77777777" w:rsidR="000A4270" w:rsidRDefault="000A4270">
      <w:pPr>
        <w:pStyle w:val="Ttulo1"/>
        <w:spacing w:before="0"/>
        <w:jc w:val="right"/>
        <w:rPr>
          <w:rFonts w:ascii="Noto Sans HK" w:eastAsia="Noto Sans HK" w:hAnsi="Noto Sans HK" w:cs="Noto Sans HK"/>
          <w:sz w:val="20"/>
          <w:szCs w:val="20"/>
        </w:rPr>
      </w:pPr>
      <w:bookmarkStart w:id="1" w:name="_d3owelm5qoq0" w:colFirst="0" w:colLast="0"/>
      <w:bookmarkEnd w:id="1"/>
    </w:p>
    <w:tbl>
      <w:tblPr>
        <w:tblStyle w:val="a0"/>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4"/>
      </w:tblGrid>
      <w:tr w:rsidR="000A4270" w14:paraId="07C0804A" w14:textId="77777777">
        <w:tc>
          <w:tcPr>
            <w:tcW w:w="13954" w:type="dxa"/>
            <w:shd w:val="clear" w:color="auto" w:fill="93C47D"/>
            <w:tcMar>
              <w:top w:w="100" w:type="dxa"/>
              <w:left w:w="100" w:type="dxa"/>
              <w:bottom w:w="100" w:type="dxa"/>
              <w:right w:w="100" w:type="dxa"/>
            </w:tcMar>
          </w:tcPr>
          <w:p w14:paraId="7AD63BC9" w14:textId="77777777" w:rsidR="000A4270" w:rsidRDefault="00000000">
            <w:pPr>
              <w:jc w:val="left"/>
              <w:rPr>
                <w:rFonts w:ascii="Noto Sans HK" w:eastAsia="Noto Sans HK" w:hAnsi="Noto Sans HK" w:cs="Noto Sans HK"/>
                <w:b/>
                <w:sz w:val="18"/>
                <w:szCs w:val="18"/>
              </w:rPr>
            </w:pPr>
            <w:r>
              <w:rPr>
                <w:rFonts w:ascii="Montserrat" w:eastAsia="Montserrat" w:hAnsi="Montserrat" w:cs="Montserrat"/>
                <w:b/>
              </w:rPr>
              <w:t>¿Cómo consideras que podrían resolverse los problemas técnicos que pudieran surgir con el uso de tecnología en el aula?</w:t>
            </w:r>
          </w:p>
        </w:tc>
      </w:tr>
      <w:tr w:rsidR="000A4270" w14:paraId="5BD12FCD" w14:textId="77777777">
        <w:tc>
          <w:tcPr>
            <w:tcW w:w="13954" w:type="dxa"/>
            <w:shd w:val="clear" w:color="auto" w:fill="auto"/>
            <w:tcMar>
              <w:top w:w="100" w:type="dxa"/>
              <w:left w:w="100" w:type="dxa"/>
              <w:bottom w:w="100" w:type="dxa"/>
              <w:right w:w="100" w:type="dxa"/>
            </w:tcMar>
          </w:tcPr>
          <w:p w14:paraId="7F064A81" w14:textId="77777777" w:rsidR="000A4270" w:rsidRDefault="00000000">
            <w:pPr>
              <w:widowControl w:val="0"/>
              <w:spacing w:line="240" w:lineRule="auto"/>
              <w:jc w:val="left"/>
              <w:rPr>
                <w:rFonts w:ascii="Noto Sans HK" w:eastAsia="Noto Sans HK" w:hAnsi="Noto Sans HK" w:cs="Noto Sans HK"/>
                <w:sz w:val="20"/>
                <w:szCs w:val="20"/>
              </w:rPr>
            </w:pPr>
            <w:r>
              <w:rPr>
                <w:rFonts w:ascii="Noto Sans HK" w:eastAsia="Noto Sans HK" w:hAnsi="Noto Sans HK" w:cs="Noto Sans HK"/>
                <w:sz w:val="20"/>
                <w:szCs w:val="20"/>
              </w:rPr>
              <w:t xml:space="preserve">En el centro contamos con un carro de portátiles, que suelen ser revisados por los compañeros Tics, he tenido en cuenta que el carro tiene ordenadores de reserva, en el caso de no poder solucionar yo  el problema se usaría otro dispositivo. También tenemos la posibilidad de que el compañero Tic esté de guardia y suele venir cuando se lo solicitamos. Mientras han estado haciendo el trabajo no hemos tenido problemas con los portátiles, solo algunos problemas con la aplicación de canva o la de </w:t>
            </w:r>
            <w:proofErr w:type="spellStart"/>
            <w:r>
              <w:rPr>
                <w:rFonts w:ascii="Noto Sans HK" w:eastAsia="Noto Sans HK" w:hAnsi="Noto Sans HK" w:cs="Noto Sans HK"/>
                <w:sz w:val="20"/>
                <w:szCs w:val="20"/>
              </w:rPr>
              <w:t>google</w:t>
            </w:r>
            <w:proofErr w:type="spellEnd"/>
            <w:r>
              <w:rPr>
                <w:rFonts w:ascii="Noto Sans HK" w:eastAsia="Noto Sans HK" w:hAnsi="Noto Sans HK" w:cs="Noto Sans HK"/>
                <w:sz w:val="20"/>
                <w:szCs w:val="20"/>
              </w:rPr>
              <w:t xml:space="preserve">, pero que he podido solucionar yo. </w:t>
            </w:r>
          </w:p>
          <w:p w14:paraId="2F653CD6" w14:textId="77777777" w:rsidR="000A4270" w:rsidRDefault="00000000">
            <w:pPr>
              <w:widowControl w:val="0"/>
              <w:spacing w:line="240" w:lineRule="auto"/>
              <w:jc w:val="left"/>
              <w:rPr>
                <w:rFonts w:ascii="Noto Sans HK" w:eastAsia="Noto Sans HK" w:hAnsi="Noto Sans HK" w:cs="Noto Sans HK"/>
                <w:sz w:val="20"/>
                <w:szCs w:val="20"/>
              </w:rPr>
            </w:pPr>
            <w:r>
              <w:rPr>
                <w:rFonts w:ascii="Noto Sans HK" w:eastAsia="Noto Sans HK" w:hAnsi="Noto Sans HK" w:cs="Noto Sans HK"/>
                <w:sz w:val="20"/>
                <w:szCs w:val="20"/>
              </w:rPr>
              <w:t xml:space="preserve">En el caso de la conexión wifi, siempre llevo otra actividad, con la nueva disposición del uso de móviles en las aulas no contemplo la posibilidad de usar sus datos móviles. </w:t>
            </w:r>
          </w:p>
          <w:p w14:paraId="59DBAEE3" w14:textId="77777777" w:rsidR="000A4270" w:rsidRDefault="00000000">
            <w:pPr>
              <w:widowControl w:val="0"/>
              <w:spacing w:line="240" w:lineRule="auto"/>
              <w:rPr>
                <w:rFonts w:ascii="Noto Sans HK" w:eastAsia="Noto Sans HK" w:hAnsi="Noto Sans HK" w:cs="Noto Sans HK"/>
                <w:sz w:val="20"/>
                <w:szCs w:val="20"/>
              </w:rPr>
            </w:pPr>
            <w:r>
              <w:rPr>
                <w:rFonts w:ascii="Noto Sans HK" w:eastAsia="Noto Sans HK" w:hAnsi="Noto Sans HK" w:cs="Noto Sans HK"/>
                <w:sz w:val="20"/>
                <w:szCs w:val="20"/>
              </w:rPr>
              <w:t xml:space="preserve">El equipo de compañeros que están este año en Tic han conseguido que los portátiles están siempre cargados y disponibles para el alumnado. </w:t>
            </w:r>
          </w:p>
        </w:tc>
      </w:tr>
    </w:tbl>
    <w:p w14:paraId="0323B68D" w14:textId="77777777" w:rsidR="000A4270" w:rsidRDefault="000A4270">
      <w:pPr>
        <w:rPr>
          <w:rFonts w:ascii="Montserrat" w:eastAsia="Montserrat" w:hAnsi="Montserrat" w:cs="Montserrat"/>
        </w:rPr>
      </w:pPr>
    </w:p>
    <w:p w14:paraId="0C1EE1FE" w14:textId="77777777" w:rsidR="000A4270" w:rsidRDefault="000A4270">
      <w:pPr>
        <w:jc w:val="left"/>
        <w:rPr>
          <w:rFonts w:ascii="Montserrat" w:eastAsia="Montserrat" w:hAnsi="Montserrat" w:cs="Montserrat"/>
          <w:sz w:val="20"/>
          <w:szCs w:val="20"/>
        </w:rPr>
      </w:pPr>
    </w:p>
    <w:sectPr w:rsidR="000A4270">
      <w:headerReference w:type="default" r:id="rId6"/>
      <w:footerReference w:type="default" r:id="rId7"/>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A30A" w14:textId="77777777" w:rsidR="00FA7C31" w:rsidRDefault="00FA7C31">
      <w:pPr>
        <w:spacing w:line="240" w:lineRule="auto"/>
      </w:pPr>
      <w:r>
        <w:separator/>
      </w:r>
    </w:p>
  </w:endnote>
  <w:endnote w:type="continuationSeparator" w:id="0">
    <w:p w14:paraId="6A94180F" w14:textId="77777777" w:rsidR="00FA7C31" w:rsidRDefault="00FA7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ahom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Noto Sans HK">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D2E3" w14:textId="77777777" w:rsidR="000A4270" w:rsidRDefault="000A4270">
    <w:pPr>
      <w:keepLines/>
      <w:tabs>
        <w:tab w:val="right" w:pos="9060"/>
      </w:tabs>
      <w:spacing w:line="240" w:lineRule="auto"/>
      <w:rPr>
        <w:rFonts w:ascii="Noto Sans HK" w:eastAsia="Noto Sans HK" w:hAnsi="Noto Sans HK" w:cs="Noto Sans HK"/>
        <w:i/>
      </w:rPr>
    </w:pPr>
  </w:p>
  <w:p w14:paraId="07FC3725" w14:textId="77777777" w:rsidR="000A4270" w:rsidRDefault="00000000">
    <w:pPr>
      <w:keepLines/>
      <w:tabs>
        <w:tab w:val="right" w:pos="9060"/>
      </w:tabs>
      <w:spacing w:line="240" w:lineRule="auto"/>
      <w:rPr>
        <w:rFonts w:ascii="Noto Sans HK" w:eastAsia="Noto Sans HK" w:hAnsi="Noto Sans HK" w:cs="Noto Sans HK"/>
        <w:i/>
      </w:rPr>
    </w:pPr>
    <w:r>
      <w:pict w14:anchorId="51988CC3">
        <v:rect id="_x0000_i1026" style="width:0;height:1.5pt" o:hralign="center" o:hrstd="t" o:hr="t" fillcolor="#a0a0a0" stroked="f"/>
      </w:pict>
    </w:r>
  </w:p>
  <w:p w14:paraId="71DC3066" w14:textId="77777777" w:rsidR="000A4270" w:rsidRDefault="00000000">
    <w:pPr>
      <w:keepLines/>
      <w:tabs>
        <w:tab w:val="right" w:pos="13875"/>
      </w:tabs>
      <w:spacing w:line="240" w:lineRule="auto"/>
      <w:rPr>
        <w:rFonts w:ascii="Noto Sans HK" w:eastAsia="Noto Sans HK" w:hAnsi="Noto Sans HK" w:cs="Noto Sans HK"/>
        <w:i/>
      </w:rPr>
    </w:pPr>
    <w:r>
      <w:rPr>
        <w:rFonts w:ascii="Noto Sans HK" w:eastAsia="Noto Sans HK" w:hAnsi="Noto Sans HK" w:cs="Noto Sans HK"/>
        <w:i/>
      </w:rPr>
      <w:t>Módulo 6</w:t>
    </w:r>
    <w:r>
      <w:rPr>
        <w:rFonts w:ascii="Noto Sans HK" w:eastAsia="Noto Sans HK" w:hAnsi="Noto Sans HK" w:cs="Noto Sans HK"/>
        <w:i/>
      </w:rPr>
      <w:tab/>
      <w:t>Criterios de evaluación</w:t>
    </w:r>
  </w:p>
  <w:p w14:paraId="2739AE78" w14:textId="77777777" w:rsidR="000A4270" w:rsidRDefault="00000000">
    <w:pPr>
      <w:keepLines/>
      <w:tabs>
        <w:tab w:val="center" w:pos="7080"/>
        <w:tab w:val="right" w:pos="9060"/>
      </w:tabs>
      <w:spacing w:line="240" w:lineRule="auto"/>
      <w:rPr>
        <w:rFonts w:ascii="Noto Sans HK" w:eastAsia="Noto Sans HK" w:hAnsi="Noto Sans HK" w:cs="Noto Sans HK"/>
        <w:i/>
      </w:rPr>
    </w:pPr>
    <w:r>
      <w:rPr>
        <w:rFonts w:ascii="Noto Sans HK" w:eastAsia="Noto Sans HK" w:hAnsi="Noto Sans HK" w:cs="Noto Sans HK"/>
        <w:i/>
      </w:rPr>
      <w:tab/>
    </w:r>
    <w:r>
      <w:rPr>
        <w:rFonts w:ascii="Noto Sans HK" w:eastAsia="Noto Sans HK" w:hAnsi="Noto Sans HK" w:cs="Noto Sans HK"/>
        <w:i/>
      </w:rPr>
      <w:fldChar w:fldCharType="begin"/>
    </w:r>
    <w:r>
      <w:rPr>
        <w:rFonts w:ascii="Noto Sans HK" w:eastAsia="Noto Sans HK" w:hAnsi="Noto Sans HK" w:cs="Noto Sans HK"/>
        <w:i/>
      </w:rPr>
      <w:instrText>PAGE</w:instrText>
    </w:r>
    <w:r>
      <w:rPr>
        <w:rFonts w:ascii="Noto Sans HK" w:eastAsia="Noto Sans HK" w:hAnsi="Noto Sans HK" w:cs="Noto Sans HK"/>
        <w:i/>
      </w:rPr>
      <w:fldChar w:fldCharType="separate"/>
    </w:r>
    <w:r w:rsidR="007528AE">
      <w:rPr>
        <w:rFonts w:ascii="Noto Sans HK" w:eastAsia="Noto Sans HK" w:hAnsi="Noto Sans HK" w:cs="Noto Sans HK"/>
        <w:i/>
        <w:noProof/>
      </w:rPr>
      <w:t>1</w:t>
    </w:r>
    <w:r>
      <w:rPr>
        <w:rFonts w:ascii="Noto Sans HK" w:eastAsia="Noto Sans HK" w:hAnsi="Noto Sans HK" w:cs="Noto Sans HK"/>
        <w:i/>
      </w:rPr>
      <w:fldChar w:fldCharType="end"/>
    </w:r>
    <w:r>
      <w:rPr>
        <w:rFonts w:ascii="Noto Sans HK" w:eastAsia="Noto Sans HK" w:hAnsi="Noto Sans HK" w:cs="Noto Sans HK"/>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3D82" w14:textId="77777777" w:rsidR="00FA7C31" w:rsidRDefault="00FA7C31">
      <w:pPr>
        <w:spacing w:line="240" w:lineRule="auto"/>
      </w:pPr>
      <w:r>
        <w:separator/>
      </w:r>
    </w:p>
  </w:footnote>
  <w:footnote w:type="continuationSeparator" w:id="0">
    <w:p w14:paraId="0CD68978" w14:textId="77777777" w:rsidR="00FA7C31" w:rsidRDefault="00FA7C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83DC" w14:textId="77777777" w:rsidR="000A4270" w:rsidRDefault="00000000">
    <w:pPr>
      <w:spacing w:line="240" w:lineRule="auto"/>
      <w:jc w:val="right"/>
      <w:rPr>
        <w:rFonts w:ascii="Noto Sans HK" w:eastAsia="Noto Sans HK" w:hAnsi="Noto Sans HK" w:cs="Noto Sans HK"/>
      </w:rPr>
    </w:pPr>
    <w:r>
      <w:rPr>
        <w:rFonts w:ascii="Noto Sans HK" w:eastAsia="Noto Sans HK" w:hAnsi="Noto Sans HK" w:cs="Noto Sans HK"/>
      </w:rPr>
      <w:t>Competencia Digital Docente</w:t>
    </w:r>
    <w:r>
      <w:rPr>
        <w:noProof/>
      </w:rPr>
      <w:drawing>
        <wp:anchor distT="0" distB="0" distL="0" distR="114300" simplePos="0" relativeHeight="251658240" behindDoc="0" locked="0" layoutInCell="1" hidden="0" allowOverlap="1" wp14:anchorId="0FC8B6BC" wp14:editId="22170664">
          <wp:simplePos x="0" y="0"/>
          <wp:positionH relativeFrom="column">
            <wp:posOffset>-76199</wp:posOffset>
          </wp:positionH>
          <wp:positionV relativeFrom="paragraph">
            <wp:posOffset>0</wp:posOffset>
          </wp:positionV>
          <wp:extent cx="2223880" cy="522038"/>
          <wp:effectExtent l="0" t="0" r="0" b="0"/>
          <wp:wrapSquare wrapText="bothSides" distT="0" distB="0" distL="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23880" cy="522038"/>
                  </a:xfrm>
                  <a:prstGeom prst="rect">
                    <a:avLst/>
                  </a:prstGeom>
                  <a:ln/>
                </pic:spPr>
              </pic:pic>
            </a:graphicData>
          </a:graphic>
        </wp:anchor>
      </w:drawing>
    </w:r>
  </w:p>
  <w:p w14:paraId="5EF179EB" w14:textId="77777777" w:rsidR="000A4270" w:rsidRDefault="00000000">
    <w:pPr>
      <w:spacing w:line="240" w:lineRule="auto"/>
      <w:jc w:val="right"/>
      <w:rPr>
        <w:rFonts w:ascii="Noto Sans HK" w:eastAsia="Noto Sans HK" w:hAnsi="Noto Sans HK" w:cs="Noto Sans HK"/>
      </w:rPr>
    </w:pPr>
    <w:r>
      <w:rPr>
        <w:rFonts w:ascii="Noto Sans HK" w:eastAsia="Noto Sans HK" w:hAnsi="Noto Sans HK" w:cs="Noto Sans HK"/>
      </w:rPr>
      <w:t>Nivel B2</w:t>
    </w:r>
  </w:p>
  <w:p w14:paraId="70DF14E5" w14:textId="77777777" w:rsidR="000A4270" w:rsidRDefault="00000000">
    <w:pPr>
      <w:spacing w:line="240" w:lineRule="auto"/>
      <w:jc w:val="right"/>
      <w:rPr>
        <w:rFonts w:ascii="Noto Sans HK" w:eastAsia="Noto Sans HK" w:hAnsi="Noto Sans HK" w:cs="Noto Sans HK"/>
      </w:rPr>
    </w:pPr>
    <w:r>
      <w:rPr>
        <w:rFonts w:ascii="Noto Sans HK" w:eastAsia="Noto Sans HK" w:hAnsi="Noto Sans HK" w:cs="Noto Sans HK"/>
      </w:rPr>
      <w:t>María del Mar Polo Ossorio</w:t>
    </w:r>
  </w:p>
  <w:p w14:paraId="39317DF1" w14:textId="77777777" w:rsidR="000A4270" w:rsidRDefault="00000000">
    <w:pPr>
      <w:spacing w:line="240" w:lineRule="auto"/>
      <w:jc w:val="right"/>
      <w:rPr>
        <w:rFonts w:ascii="Noto Sans HK" w:eastAsia="Noto Sans HK" w:hAnsi="Noto Sans HK" w:cs="Noto Sans HK"/>
      </w:rPr>
    </w:pPr>
    <w:r>
      <w:pict w14:anchorId="685CF7BA">
        <v:rect id="_x0000_i1025" style="width:0;height:1.5pt" o:hralign="center" o:hrstd="t" o:hr="t" fillcolor="#a0a0a0" stroked="f"/>
      </w:pict>
    </w:r>
  </w:p>
  <w:p w14:paraId="3AB95DFE" w14:textId="77777777" w:rsidR="000A4270" w:rsidRDefault="000A4270">
    <w:pPr>
      <w:spacing w:line="240" w:lineRule="auto"/>
      <w:jc w:val="right"/>
      <w:rPr>
        <w:rFonts w:ascii="Noto Sans HK" w:eastAsia="Noto Sans HK" w:hAnsi="Noto Sans HK" w:cs="Noto Sans H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70"/>
    <w:rsid w:val="000A4270"/>
    <w:rsid w:val="007528AE"/>
    <w:rsid w:val="00861872"/>
    <w:rsid w:val="00FA7C3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4E6C8"/>
  <w15:docId w15:val="{8EAC255E-727F-445E-8C63-1C735E32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s" w:eastAsia="ja-JP"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1942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Mar Rubio</dc:creator>
  <cp:lastModifiedBy>María del Mar Rubio</cp:lastModifiedBy>
  <cp:revision>2</cp:revision>
  <dcterms:created xsi:type="dcterms:W3CDTF">2023-12-18T16:10:00Z</dcterms:created>
  <dcterms:modified xsi:type="dcterms:W3CDTF">2023-12-18T16:10:00Z</dcterms:modified>
</cp:coreProperties>
</file>